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F1E" w:rsidRDefault="001D03A3">
      <w:r>
        <w:rPr>
          <w:noProof/>
        </w:rPr>
        <w:drawing>
          <wp:inline distT="0" distB="0" distL="0" distR="0">
            <wp:extent cx="6810375" cy="8813469"/>
            <wp:effectExtent l="19050" t="0" r="9525" b="0"/>
            <wp:docPr id="1" name="Picture 0" descr="AGSW Act Description for press release 2023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SW Act Description for press release 2023-20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271" cy="88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F1E" w:rsidSect="001D03A3">
      <w:pgSz w:w="12240" w:h="15840"/>
      <w:pgMar w:top="54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1D03A3"/>
    <w:rsid w:val="001D03A3"/>
    <w:rsid w:val="004E3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F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rogerreso@yahoo.com</dc:creator>
  <cp:lastModifiedBy>rogerreso@yahoo.com</cp:lastModifiedBy>
  <cp:revision>1</cp:revision>
  <dcterms:created xsi:type="dcterms:W3CDTF">2023-08-26T02:27:00Z</dcterms:created>
  <dcterms:modified xsi:type="dcterms:W3CDTF">2023-08-26T02:33:00Z</dcterms:modified>
</cp:coreProperties>
</file>